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9BAF1" w14:textId="77777777" w:rsidR="004E50E5" w:rsidRDefault="00AD310B">
      <w:pPr>
        <w:spacing w:after="0"/>
        <w:ind w:left="194"/>
        <w:jc w:val="center"/>
      </w:pPr>
      <w:r>
        <w:rPr>
          <w:rFonts w:ascii="Arial" w:eastAsia="Arial" w:hAnsi="Arial" w:cs="Arial"/>
          <w:color w:val="222222"/>
          <w:sz w:val="31"/>
        </w:rPr>
        <w:t>Learner Notification</w:t>
      </w:r>
      <w:r>
        <w:rPr>
          <w:rFonts w:ascii="Arial" w:eastAsia="Arial" w:hAnsi="Arial" w:cs="Arial"/>
          <w:sz w:val="31"/>
        </w:rPr>
        <w:t xml:space="preserve"> </w:t>
      </w:r>
    </w:p>
    <w:p w14:paraId="6A6550F7" w14:textId="77777777" w:rsidR="004E50E5" w:rsidRDefault="00AD310B">
      <w:pPr>
        <w:spacing w:after="140"/>
        <w:ind w:left="-248" w:right="-427"/>
      </w:pPr>
      <w:r>
        <w:rPr>
          <w:noProof/>
        </w:rPr>
        <mc:AlternateContent>
          <mc:Choice Requires="wpg">
            <w:drawing>
              <wp:inline distT="0" distB="0" distL="0" distR="0" wp14:anchorId="5DE3DF0A" wp14:editId="09F05B0D">
                <wp:extent cx="6324601" cy="7905"/>
                <wp:effectExtent l="0" t="0" r="0" b="0"/>
                <wp:docPr id="5275" name="Group 5275"/>
                <wp:cNvGraphicFramePr/>
                <a:graphic xmlns:a="http://schemas.openxmlformats.org/drawingml/2006/main">
                  <a:graphicData uri="http://schemas.microsoft.com/office/word/2010/wordprocessingGroup">
                    <wpg:wgp>
                      <wpg:cNvGrpSpPr/>
                      <wpg:grpSpPr>
                        <a:xfrm>
                          <a:off x="0" y="0"/>
                          <a:ext cx="6324601" cy="7905"/>
                          <a:chOff x="0" y="0"/>
                          <a:chExt cx="6324601" cy="7905"/>
                        </a:xfrm>
                      </wpg:grpSpPr>
                      <wps:wsp>
                        <wps:cNvPr id="6032" name="Shape 6032"/>
                        <wps:cNvSpPr/>
                        <wps:spPr>
                          <a:xfrm>
                            <a:off x="0" y="0"/>
                            <a:ext cx="6324601" cy="9144"/>
                          </a:xfrm>
                          <a:custGeom>
                            <a:avLst/>
                            <a:gdLst/>
                            <a:ahLst/>
                            <a:cxnLst/>
                            <a:rect l="0" t="0" r="0" b="0"/>
                            <a:pathLst>
                              <a:path w="6324601" h="9144">
                                <a:moveTo>
                                  <a:pt x="0" y="0"/>
                                </a:moveTo>
                                <a:lnTo>
                                  <a:pt x="6324601" y="0"/>
                                </a:lnTo>
                                <a:lnTo>
                                  <a:pt x="6324601" y="9144"/>
                                </a:lnTo>
                                <a:lnTo>
                                  <a:pt x="0" y="9144"/>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xmlns:a="http://schemas.openxmlformats.org/drawingml/2006/main">
            <w:pict>
              <v:group id="Group 5275" style="width:498pt;height:0.622437pt;mso-position-horizontal-relative:char;mso-position-vertical-relative:line" coordsize="63246,79">
                <v:shape id="Shape 6033" style="position:absolute;width:63246;height:91;left:0;top:0;" coordsize="6324601,9144" path="m0,0l6324601,0l6324601,9144l0,9144l0,0">
                  <v:stroke weight="0pt" endcap="flat" joinstyle="miter" miterlimit="10" on="false" color="#000000" opacity="0"/>
                  <v:fill on="true" color="#000000" opacity="0.101961"/>
                </v:shape>
              </v:group>
            </w:pict>
          </mc:Fallback>
        </mc:AlternateContent>
      </w:r>
      <w:r>
        <w:rPr>
          <w:rFonts w:ascii="Arial" w:eastAsia="Arial" w:hAnsi="Arial" w:cs="Arial"/>
          <w:sz w:val="27"/>
        </w:rPr>
        <w:t xml:space="preserve"> </w:t>
      </w:r>
    </w:p>
    <w:p w14:paraId="4BE01462" w14:textId="77777777" w:rsidR="004E50E5" w:rsidRDefault="00AD310B">
      <w:pPr>
        <w:spacing w:after="0"/>
      </w:pPr>
      <w:r>
        <w:rPr>
          <w:rFonts w:ascii="Arial" w:eastAsia="Arial" w:hAnsi="Arial" w:cs="Arial"/>
          <w:sz w:val="27"/>
        </w:rPr>
        <w:t xml:space="preserve"> </w:t>
      </w:r>
    </w:p>
    <w:p w14:paraId="6E7AD42E" w14:textId="77777777" w:rsidR="004E50E5" w:rsidRDefault="00AD310B">
      <w:pPr>
        <w:spacing w:after="78"/>
        <w:ind w:left="95" w:hanging="10"/>
      </w:pPr>
      <w:r>
        <w:rPr>
          <w:rFonts w:ascii="Arial" w:eastAsia="Arial" w:hAnsi="Arial" w:cs="Arial"/>
          <w:sz w:val="27"/>
        </w:rPr>
        <w:t xml:space="preserve">Galen Mental Health </w:t>
      </w:r>
    </w:p>
    <w:p w14:paraId="792AEE15" w14:textId="77777777" w:rsidR="004E50E5" w:rsidRDefault="00AD310B">
      <w:pPr>
        <w:spacing w:after="78"/>
        <w:ind w:left="95" w:hanging="10"/>
      </w:pPr>
      <w:r>
        <w:rPr>
          <w:rFonts w:ascii="Arial" w:eastAsia="Arial" w:hAnsi="Arial" w:cs="Arial"/>
          <w:sz w:val="27"/>
        </w:rPr>
        <w:t xml:space="preserve">From Spirituality to Behaviors: Defining Addiction and Mental Health </w:t>
      </w:r>
    </w:p>
    <w:p w14:paraId="7EFC81C1" w14:textId="77777777" w:rsidR="004E50E5" w:rsidRDefault="00AD310B">
      <w:pPr>
        <w:spacing w:after="111"/>
        <w:ind w:left="95" w:right="3328" w:hanging="10"/>
      </w:pPr>
      <w:r>
        <w:rPr>
          <w:rFonts w:ascii="Arial" w:eastAsia="Arial" w:hAnsi="Arial" w:cs="Arial"/>
          <w:sz w:val="27"/>
        </w:rPr>
        <w:t xml:space="preserve">December 14, 2024 - December 14, </w:t>
      </w:r>
      <w:proofErr w:type="gramStart"/>
      <w:r>
        <w:rPr>
          <w:rFonts w:ascii="Arial" w:eastAsia="Arial" w:hAnsi="Arial" w:cs="Arial"/>
          <w:sz w:val="27"/>
        </w:rPr>
        <w:t>2025</w:t>
      </w:r>
      <w:proofErr w:type="gramEnd"/>
      <w:r>
        <w:rPr>
          <w:rFonts w:ascii="Arial" w:eastAsia="Arial" w:hAnsi="Arial" w:cs="Arial"/>
          <w:sz w:val="27"/>
        </w:rPr>
        <w:t xml:space="preserve"> Online </w:t>
      </w:r>
    </w:p>
    <w:p w14:paraId="380AB922" w14:textId="77777777" w:rsidR="004E50E5" w:rsidRDefault="00AD310B">
      <w:pPr>
        <w:spacing w:after="0"/>
      </w:pPr>
      <w:r>
        <w:rPr>
          <w:rFonts w:ascii="Arial" w:eastAsia="Arial" w:hAnsi="Arial" w:cs="Arial"/>
          <w:sz w:val="27"/>
        </w:rPr>
        <w:t xml:space="preserve"> </w:t>
      </w:r>
    </w:p>
    <w:p w14:paraId="0E6D161C" w14:textId="77777777" w:rsidR="004E50E5" w:rsidRDefault="00AD310B">
      <w:pPr>
        <w:spacing w:after="2"/>
        <w:ind w:left="120" w:hanging="10"/>
      </w:pPr>
      <w:r>
        <w:rPr>
          <w:rFonts w:ascii="Arial" w:eastAsia="Arial" w:hAnsi="Arial" w:cs="Arial"/>
          <w:b/>
        </w:rPr>
        <w:t xml:space="preserve">Acknowledgement of Financial Commercial Support </w:t>
      </w:r>
    </w:p>
    <w:p w14:paraId="09F5F1F6" w14:textId="77777777" w:rsidR="004E50E5" w:rsidRDefault="00AD310B">
      <w:pPr>
        <w:spacing w:after="113" w:line="265" w:lineRule="auto"/>
        <w:ind w:left="120" w:hanging="10"/>
      </w:pPr>
      <w:r>
        <w:rPr>
          <w:rFonts w:ascii="Arial" w:eastAsia="Arial" w:hAnsi="Arial" w:cs="Arial"/>
          <w:sz w:val="16"/>
        </w:rPr>
        <w:t xml:space="preserve">No financial commercial support was </w:t>
      </w:r>
      <w:r>
        <w:rPr>
          <w:rFonts w:ascii="Arial" w:eastAsia="Arial" w:hAnsi="Arial" w:cs="Arial"/>
          <w:sz w:val="16"/>
        </w:rPr>
        <w:t xml:space="preserve">received for this educational activity. </w:t>
      </w:r>
    </w:p>
    <w:p w14:paraId="3B503047" w14:textId="77777777" w:rsidR="004E50E5" w:rsidRDefault="00AD310B">
      <w:pPr>
        <w:spacing w:after="2"/>
        <w:ind w:left="120" w:hanging="10"/>
      </w:pPr>
      <w:r>
        <w:rPr>
          <w:rFonts w:ascii="Arial" w:eastAsia="Arial" w:hAnsi="Arial" w:cs="Arial"/>
          <w:b/>
        </w:rPr>
        <w:t xml:space="preserve">Acknowledgement of In-Kind Commercial Support </w:t>
      </w:r>
    </w:p>
    <w:p w14:paraId="0E58D954" w14:textId="77777777" w:rsidR="004E50E5" w:rsidRDefault="00AD310B">
      <w:pPr>
        <w:spacing w:after="0" w:line="265" w:lineRule="auto"/>
        <w:ind w:left="120" w:hanging="10"/>
      </w:pPr>
      <w:r>
        <w:rPr>
          <w:rFonts w:ascii="Arial" w:eastAsia="Arial" w:hAnsi="Arial" w:cs="Arial"/>
          <w:sz w:val="16"/>
        </w:rPr>
        <w:t xml:space="preserve">No in-kind commercial support was received for this educational activity. </w:t>
      </w:r>
    </w:p>
    <w:p w14:paraId="01963493" w14:textId="77777777" w:rsidR="004E50E5" w:rsidRDefault="00AD310B">
      <w:pPr>
        <w:spacing w:after="21"/>
      </w:pPr>
      <w:r>
        <w:rPr>
          <w:rFonts w:ascii="Arial" w:eastAsia="Arial" w:hAnsi="Arial" w:cs="Arial"/>
          <w:sz w:val="16"/>
        </w:rPr>
        <w:t xml:space="preserve"> </w:t>
      </w:r>
    </w:p>
    <w:p w14:paraId="7A6BA2B2" w14:textId="77777777" w:rsidR="004E50E5" w:rsidRDefault="00AD310B">
      <w:pPr>
        <w:spacing w:after="46"/>
      </w:pPr>
      <w:r>
        <w:rPr>
          <w:rFonts w:ascii="Arial" w:eastAsia="Arial" w:hAnsi="Arial" w:cs="Arial"/>
          <w:sz w:val="16"/>
        </w:rPr>
        <w:t xml:space="preserve"> </w:t>
      </w:r>
    </w:p>
    <w:p w14:paraId="0E4D88D2" w14:textId="77777777" w:rsidR="004E50E5" w:rsidRDefault="00AD310B">
      <w:pPr>
        <w:pStyle w:val="Heading1"/>
        <w:ind w:left="120"/>
      </w:pPr>
      <w:r>
        <w:t xml:space="preserve">Satisfactory Completion </w:t>
      </w:r>
    </w:p>
    <w:p w14:paraId="4F868C92" w14:textId="77777777" w:rsidR="004E50E5" w:rsidRDefault="00AD310B">
      <w:pPr>
        <w:spacing w:after="180" w:line="340" w:lineRule="auto"/>
        <w:ind w:left="100" w:right="198"/>
        <w:jc w:val="both"/>
      </w:pPr>
      <w:r>
        <w:rPr>
          <w:rFonts w:ascii="Arial" w:eastAsia="Arial" w:hAnsi="Arial" w:cs="Arial"/>
          <w:sz w:val="16"/>
        </w:rPr>
        <w:t>Learners must listen to each self-directed audio recording while following along with the visual slides/read the articles, pass the post-test with a score of 80% or higher and complete an evaluation form to receive a certificate of completion. You must participate in the entire activity as partial credit is not available. If you are seeking continuing education credit for a specialty not listed below, it is your responsibility to contact your licensing/certification board to determine course eligibility for</w:t>
      </w:r>
      <w:r>
        <w:rPr>
          <w:rFonts w:ascii="Arial" w:eastAsia="Arial" w:hAnsi="Arial" w:cs="Arial"/>
          <w:sz w:val="16"/>
        </w:rPr>
        <w:t xml:space="preserve"> your licensing/ certification requirement. </w:t>
      </w:r>
    </w:p>
    <w:p w14:paraId="77CBA44A" w14:textId="77777777" w:rsidR="004E50E5" w:rsidRDefault="00AD310B">
      <w:pPr>
        <w:pStyle w:val="Heading1"/>
        <w:ind w:left="120"/>
      </w:pPr>
      <w:r>
        <w:t xml:space="preserve">Joint Accreditation Statement </w:t>
      </w:r>
    </w:p>
    <w:p w14:paraId="5A6A9042" w14:textId="77777777" w:rsidR="004E50E5" w:rsidRDefault="00AD310B">
      <w:pPr>
        <w:spacing w:after="91"/>
      </w:pPr>
      <w:r>
        <w:rPr>
          <w:rFonts w:ascii="Arial" w:eastAsia="Arial" w:hAnsi="Arial" w:cs="Arial"/>
          <w:b/>
          <w:sz w:val="16"/>
        </w:rPr>
        <w:t xml:space="preserve"> </w:t>
      </w:r>
    </w:p>
    <w:p w14:paraId="452D2B0A" w14:textId="77777777" w:rsidR="004E50E5" w:rsidRDefault="00AD310B">
      <w:pPr>
        <w:spacing w:after="0"/>
      </w:pPr>
      <w:r>
        <w:rPr>
          <w:rFonts w:ascii="Arial" w:eastAsia="Arial" w:hAnsi="Arial" w:cs="Arial"/>
          <w:b/>
          <w:sz w:val="16"/>
        </w:rPr>
        <w:t xml:space="preserve"> </w:t>
      </w:r>
    </w:p>
    <w:p w14:paraId="70D8EA28" w14:textId="77777777" w:rsidR="004E50E5" w:rsidRDefault="00AD310B">
      <w:pPr>
        <w:spacing w:after="297" w:line="265" w:lineRule="auto"/>
        <w:ind w:left="120" w:hanging="10"/>
      </w:pPr>
      <w:r>
        <w:rPr>
          <w:noProof/>
        </w:rPr>
        <w:drawing>
          <wp:anchor distT="0" distB="0" distL="114300" distR="114300" simplePos="0" relativeHeight="251658240" behindDoc="0" locked="0" layoutInCell="1" allowOverlap="0" wp14:anchorId="64E1C216" wp14:editId="43DFA0F5">
            <wp:simplePos x="0" y="0"/>
            <wp:positionH relativeFrom="column">
              <wp:posOffset>63818</wp:posOffset>
            </wp:positionH>
            <wp:positionV relativeFrom="paragraph">
              <wp:posOffset>275133</wp:posOffset>
            </wp:positionV>
            <wp:extent cx="1153795" cy="790270"/>
            <wp:effectExtent l="0" t="0" r="0" b="0"/>
            <wp:wrapSquare wrapText="bothSides"/>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5"/>
                    <a:stretch>
                      <a:fillRect/>
                    </a:stretch>
                  </pic:blipFill>
                  <pic:spPr>
                    <a:xfrm>
                      <a:off x="0" y="0"/>
                      <a:ext cx="1153795" cy="790270"/>
                    </a:xfrm>
                    <a:prstGeom prst="rect">
                      <a:avLst/>
                    </a:prstGeom>
                  </pic:spPr>
                </pic:pic>
              </a:graphicData>
            </a:graphic>
          </wp:anchor>
        </w:drawing>
      </w:r>
      <w:r>
        <w:rPr>
          <w:rFonts w:ascii="Arial" w:eastAsia="Arial" w:hAnsi="Arial" w:cs="Arial"/>
          <w:sz w:val="16"/>
        </w:rPr>
        <w:t xml:space="preserve">In support of improving patient care, this activity has been planned and implemented by Amedco LLC and Galen Mental Health. Amedco LLC is jointly accredited by the Accreditation Council for Continuing Medical Education (ACCME), the Accreditation Council for Pharmacy Education (ACPE), and the American Nurses Credentialing Center (ANCC), to provide continuing education for the healthcare team. </w:t>
      </w:r>
    </w:p>
    <w:p w14:paraId="4C9C0454" w14:textId="77777777" w:rsidR="004E50E5" w:rsidRDefault="00AD310B">
      <w:pPr>
        <w:spacing w:after="293" w:line="265" w:lineRule="auto"/>
        <w:ind w:left="120" w:hanging="10"/>
      </w:pPr>
      <w:r>
        <w:rPr>
          <w:rFonts w:ascii="Arial" w:eastAsia="Arial" w:hAnsi="Arial" w:cs="Arial"/>
          <w:sz w:val="16"/>
        </w:rPr>
        <w:t xml:space="preserve">Professions in scope for this activity are listed below. </w:t>
      </w:r>
    </w:p>
    <w:p w14:paraId="185EF7D7" w14:textId="77777777" w:rsidR="004E50E5" w:rsidRDefault="00AD310B">
      <w:pPr>
        <w:spacing w:after="242" w:line="265" w:lineRule="auto"/>
        <w:ind w:left="1991" w:hanging="10"/>
      </w:pPr>
      <w:r>
        <w:rPr>
          <w:rFonts w:ascii="Arial" w:eastAsia="Arial" w:hAnsi="Arial" w:cs="Arial"/>
          <w:sz w:val="16"/>
        </w:rPr>
        <w:t xml:space="preserve">Amedco Joint Accreditation Provider Number: 4008163 </w:t>
      </w:r>
    </w:p>
    <w:p w14:paraId="0E56A71C" w14:textId="77777777" w:rsidR="004E50E5" w:rsidRDefault="00AD310B">
      <w:pPr>
        <w:pStyle w:val="Heading1"/>
        <w:spacing w:after="66"/>
        <w:ind w:left="120"/>
      </w:pPr>
      <w:r>
        <w:t xml:space="preserve">Physicians </w:t>
      </w:r>
    </w:p>
    <w:p w14:paraId="2D5592E6" w14:textId="77777777" w:rsidR="004E50E5" w:rsidRDefault="00AD310B">
      <w:pPr>
        <w:spacing w:after="227" w:line="265" w:lineRule="auto"/>
        <w:ind w:left="120" w:hanging="10"/>
      </w:pPr>
      <w:r>
        <w:rPr>
          <w:rFonts w:ascii="Arial" w:eastAsia="Arial" w:hAnsi="Arial" w:cs="Arial"/>
          <w:sz w:val="16"/>
        </w:rPr>
        <w:t xml:space="preserve">Amedco LLC designates this material for a maximum of 1.50 </w:t>
      </w:r>
      <w:r>
        <w:rPr>
          <w:rFonts w:ascii="Arial" w:eastAsia="Arial" w:hAnsi="Arial" w:cs="Arial"/>
          <w:i/>
          <w:sz w:val="16"/>
        </w:rPr>
        <w:t xml:space="preserve">AMA PRA Category 1 </w:t>
      </w:r>
      <w:proofErr w:type="spellStart"/>
      <w:r>
        <w:rPr>
          <w:rFonts w:ascii="Arial" w:eastAsia="Arial" w:hAnsi="Arial" w:cs="Arial"/>
          <w:i/>
          <w:sz w:val="16"/>
        </w:rPr>
        <w:t>Credits</w:t>
      </w:r>
      <w:r>
        <w:rPr>
          <w:rFonts w:ascii="Arial" w:eastAsia="Arial" w:hAnsi="Arial" w:cs="Arial"/>
          <w:i/>
          <w:sz w:val="16"/>
          <w:vertAlign w:val="superscript"/>
        </w:rPr>
        <w:t>TM</w:t>
      </w:r>
      <w:proofErr w:type="spellEnd"/>
      <w:r>
        <w:rPr>
          <w:rFonts w:ascii="Arial" w:eastAsia="Arial" w:hAnsi="Arial" w:cs="Arial"/>
          <w:i/>
          <w:sz w:val="16"/>
        </w:rPr>
        <w:t xml:space="preserve"> </w:t>
      </w:r>
      <w:r>
        <w:rPr>
          <w:rFonts w:ascii="Arial" w:eastAsia="Arial" w:hAnsi="Arial" w:cs="Arial"/>
          <w:sz w:val="16"/>
        </w:rPr>
        <w:t xml:space="preserve">for physicians. Physicians should claim only the credit commensurate with the extent of their participation in the activity. </w:t>
      </w:r>
    </w:p>
    <w:p w14:paraId="46F13E19" w14:textId="77777777" w:rsidR="004E50E5" w:rsidRDefault="00AD310B">
      <w:pPr>
        <w:spacing w:after="62"/>
        <w:ind w:left="120" w:hanging="10"/>
      </w:pPr>
      <w:r>
        <w:rPr>
          <w:rFonts w:ascii="Arial" w:eastAsia="Arial" w:hAnsi="Arial" w:cs="Arial"/>
          <w:b/>
        </w:rPr>
        <w:t xml:space="preserve">Nurses </w:t>
      </w:r>
    </w:p>
    <w:p w14:paraId="2FE815EE" w14:textId="77777777" w:rsidR="004E50E5" w:rsidRDefault="00AD310B">
      <w:pPr>
        <w:spacing w:after="242" w:line="265" w:lineRule="auto"/>
        <w:ind w:left="120" w:hanging="10"/>
      </w:pPr>
      <w:r>
        <w:rPr>
          <w:rFonts w:ascii="Arial" w:eastAsia="Arial" w:hAnsi="Arial" w:cs="Arial"/>
          <w:sz w:val="16"/>
        </w:rPr>
        <w:t xml:space="preserve">Amedco LLC designates this activity for a maximum of 1.50 ANCC contact hours. </w:t>
      </w:r>
    </w:p>
    <w:p w14:paraId="759E24EC" w14:textId="77777777" w:rsidR="004E50E5" w:rsidRDefault="00AD310B">
      <w:pPr>
        <w:pStyle w:val="Heading1"/>
        <w:spacing w:after="62"/>
        <w:ind w:left="120"/>
      </w:pPr>
      <w:r>
        <w:t xml:space="preserve">Psychologists </w:t>
      </w:r>
    </w:p>
    <w:p w14:paraId="4EFB6D4A" w14:textId="77777777" w:rsidR="004E50E5" w:rsidRDefault="00AD310B">
      <w:pPr>
        <w:spacing w:after="37" w:line="265" w:lineRule="auto"/>
        <w:ind w:left="186" w:hanging="10"/>
      </w:pPr>
      <w:r>
        <w:rPr>
          <w:noProof/>
        </w:rPr>
        <w:drawing>
          <wp:anchor distT="0" distB="0" distL="114300" distR="114300" simplePos="0" relativeHeight="251659264" behindDoc="0" locked="0" layoutInCell="1" allowOverlap="0" wp14:anchorId="752E9E1C" wp14:editId="1874807A">
            <wp:simplePos x="0" y="0"/>
            <wp:positionH relativeFrom="column">
              <wp:posOffset>111443</wp:posOffset>
            </wp:positionH>
            <wp:positionV relativeFrom="paragraph">
              <wp:posOffset>30988</wp:posOffset>
            </wp:positionV>
            <wp:extent cx="593496" cy="220980"/>
            <wp:effectExtent l="0" t="0" r="0" b="0"/>
            <wp:wrapSquare wrapText="bothSides"/>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6"/>
                    <a:stretch>
                      <a:fillRect/>
                    </a:stretch>
                  </pic:blipFill>
                  <pic:spPr>
                    <a:xfrm>
                      <a:off x="0" y="0"/>
                      <a:ext cx="593496" cy="220980"/>
                    </a:xfrm>
                    <a:prstGeom prst="rect">
                      <a:avLst/>
                    </a:prstGeom>
                  </pic:spPr>
                </pic:pic>
              </a:graphicData>
            </a:graphic>
          </wp:anchor>
        </w:drawing>
      </w:r>
      <w:r>
        <w:rPr>
          <w:rFonts w:ascii="Arial" w:eastAsia="Arial" w:hAnsi="Arial" w:cs="Arial"/>
          <w:sz w:val="16"/>
        </w:rPr>
        <w:t>This course is co-</w:t>
      </w:r>
      <w:r>
        <w:rPr>
          <w:rFonts w:ascii="Arial" w:eastAsia="Arial" w:hAnsi="Arial" w:cs="Arial"/>
          <w:sz w:val="16"/>
        </w:rPr>
        <w:t xml:space="preserve">sponsored by Amedco and Galen Mental Health. Amedco is approved by the American </w:t>
      </w:r>
    </w:p>
    <w:p w14:paraId="1E9C9DF4" w14:textId="77777777" w:rsidR="004E50E5" w:rsidRDefault="00AD310B">
      <w:pPr>
        <w:spacing w:after="41"/>
        <w:ind w:left="271" w:right="46" w:hanging="10"/>
        <w:jc w:val="right"/>
      </w:pPr>
      <w:r>
        <w:rPr>
          <w:rFonts w:ascii="Arial" w:eastAsia="Arial" w:hAnsi="Arial" w:cs="Arial"/>
          <w:sz w:val="16"/>
        </w:rPr>
        <w:t xml:space="preserve">Psychological Association to sponsor continuing education for psychologists. Amedco maintains responsibility for </w:t>
      </w:r>
    </w:p>
    <w:p w14:paraId="79646CF5" w14:textId="77777777" w:rsidR="004E50E5" w:rsidRDefault="00AD310B">
      <w:pPr>
        <w:spacing w:after="143" w:line="265" w:lineRule="auto"/>
        <w:ind w:left="120" w:hanging="10"/>
      </w:pPr>
      <w:r>
        <w:rPr>
          <w:rFonts w:ascii="Arial" w:eastAsia="Arial" w:hAnsi="Arial" w:cs="Arial"/>
          <w:sz w:val="16"/>
        </w:rPr>
        <w:t xml:space="preserve">this program and content. Maximum of 1.50 hours. </w:t>
      </w:r>
    </w:p>
    <w:p w14:paraId="1CB4F29C" w14:textId="77777777" w:rsidR="004E50E5" w:rsidRDefault="00AD310B">
      <w:pPr>
        <w:spacing w:after="0"/>
      </w:pPr>
      <w:r>
        <w:rPr>
          <w:rFonts w:ascii="Arial" w:eastAsia="Arial" w:hAnsi="Arial" w:cs="Arial"/>
          <w:sz w:val="16"/>
        </w:rPr>
        <w:t xml:space="preserve"> </w:t>
      </w:r>
    </w:p>
    <w:p w14:paraId="64CC0B09" w14:textId="77777777" w:rsidR="004E50E5" w:rsidRDefault="00AD310B">
      <w:pPr>
        <w:spacing w:after="0" w:line="389" w:lineRule="auto"/>
        <w:ind w:left="110" w:right="334" w:hanging="10"/>
        <w:jc w:val="both"/>
      </w:pPr>
      <w:r>
        <w:rPr>
          <w:rFonts w:ascii="Arial" w:eastAsia="Arial" w:hAnsi="Arial" w:cs="Arial"/>
          <w:b/>
          <w:i/>
          <w:sz w:val="13"/>
        </w:rPr>
        <w:t xml:space="preserve">The following state boards accept courses from APA providers for Counselors: </w:t>
      </w:r>
      <w:r>
        <w:rPr>
          <w:rFonts w:ascii="Arial" w:eastAsia="Arial" w:hAnsi="Arial" w:cs="Arial"/>
          <w:i/>
          <w:sz w:val="13"/>
        </w:rPr>
        <w:t xml:space="preserve">AK, AR, AZ, CA, CO, CT, DC, DE, FL, GA, HI, IA, ID, IL, IN, KS, KY, MD, ME, MO, NC, ND, NH, NE, NJ, NM, NV, OK*, OR, PA, RI, SC, SD, TN, TX, UT, VA, WI, WY </w:t>
      </w:r>
      <w:r>
        <w:rPr>
          <w:rFonts w:ascii="Arial" w:eastAsia="Arial" w:hAnsi="Arial" w:cs="Arial"/>
          <w:b/>
          <w:i/>
          <w:sz w:val="13"/>
        </w:rPr>
        <w:t>MI</w:t>
      </w:r>
      <w:r>
        <w:rPr>
          <w:rFonts w:ascii="Arial" w:eastAsia="Arial" w:hAnsi="Arial" w:cs="Arial"/>
          <w:i/>
          <w:sz w:val="13"/>
        </w:rPr>
        <w:t xml:space="preserve">: No CE requirements. </w:t>
      </w:r>
    </w:p>
    <w:p w14:paraId="02D0333D" w14:textId="77777777" w:rsidR="004E50E5" w:rsidRDefault="00AD310B">
      <w:pPr>
        <w:spacing w:after="79"/>
        <w:ind w:left="110" w:hanging="10"/>
        <w:jc w:val="both"/>
      </w:pPr>
      <w:r>
        <w:rPr>
          <w:rFonts w:ascii="Arial" w:eastAsia="Arial" w:hAnsi="Arial" w:cs="Arial"/>
          <w:b/>
          <w:i/>
          <w:sz w:val="13"/>
        </w:rPr>
        <w:t>*OK</w:t>
      </w:r>
      <w:r>
        <w:rPr>
          <w:rFonts w:ascii="Arial" w:eastAsia="Arial" w:hAnsi="Arial" w:cs="Arial"/>
          <w:i/>
          <w:sz w:val="13"/>
        </w:rPr>
        <w:t xml:space="preserve">: Accepts APA credit for live, in-person activities but not for ethics and/or online courses. </w:t>
      </w:r>
    </w:p>
    <w:p w14:paraId="084A4BE8" w14:textId="77777777" w:rsidR="004E50E5" w:rsidRDefault="00AD310B">
      <w:pPr>
        <w:spacing w:after="79"/>
        <w:ind w:left="110" w:hanging="10"/>
        <w:jc w:val="both"/>
      </w:pPr>
      <w:r>
        <w:rPr>
          <w:rFonts w:ascii="Arial" w:eastAsia="Arial" w:hAnsi="Arial" w:cs="Arial"/>
          <w:b/>
          <w:i/>
          <w:sz w:val="13"/>
        </w:rPr>
        <w:t>The following state boards accept courses from APA providers for MFTs</w:t>
      </w:r>
      <w:r>
        <w:rPr>
          <w:rFonts w:ascii="Arial" w:eastAsia="Arial" w:hAnsi="Arial" w:cs="Arial"/>
          <w:i/>
          <w:sz w:val="13"/>
        </w:rPr>
        <w:t xml:space="preserve">: AK, AR, AZ, CA, CO, CT, DE, FL, GA, IA, ID, IN, KS, MD, ME, MO, NE, NC, NH, NJ, NM, NV, OK*, OR, PA, RI, SC, SD, TN, TX, UT, VA, WA, WDC, WI, WY </w:t>
      </w:r>
    </w:p>
    <w:p w14:paraId="254EC539" w14:textId="77777777" w:rsidR="004E50E5" w:rsidRDefault="00AD310B">
      <w:pPr>
        <w:spacing w:after="79"/>
        <w:ind w:left="110" w:hanging="10"/>
        <w:jc w:val="both"/>
      </w:pPr>
      <w:r>
        <w:rPr>
          <w:rFonts w:ascii="Arial" w:eastAsia="Arial" w:hAnsi="Arial" w:cs="Arial"/>
          <w:b/>
          <w:i/>
          <w:sz w:val="13"/>
        </w:rPr>
        <w:t>AL MFTs</w:t>
      </w:r>
      <w:r>
        <w:rPr>
          <w:rFonts w:ascii="Arial" w:eastAsia="Arial" w:hAnsi="Arial" w:cs="Arial"/>
          <w:i/>
          <w:sz w:val="13"/>
        </w:rPr>
        <w:t xml:space="preserve">: Credits authorized by NBCC or any other state licensing agency will be accepted. </w:t>
      </w:r>
    </w:p>
    <w:p w14:paraId="59F0E02E" w14:textId="77777777" w:rsidR="004E50E5" w:rsidRDefault="00AD310B">
      <w:pPr>
        <w:spacing w:after="79"/>
        <w:ind w:left="110" w:hanging="10"/>
        <w:jc w:val="both"/>
      </w:pPr>
      <w:r>
        <w:rPr>
          <w:rFonts w:ascii="Arial" w:eastAsia="Arial" w:hAnsi="Arial" w:cs="Arial"/>
          <w:b/>
          <w:i/>
          <w:sz w:val="13"/>
        </w:rPr>
        <w:t>MA MFTs</w:t>
      </w:r>
      <w:r>
        <w:rPr>
          <w:rFonts w:ascii="Arial" w:eastAsia="Arial" w:hAnsi="Arial" w:cs="Arial"/>
          <w:i/>
          <w:sz w:val="13"/>
        </w:rPr>
        <w:t xml:space="preserve">: Participants can self-submit courses not approved by the MAMFT board for review. </w:t>
      </w:r>
    </w:p>
    <w:p w14:paraId="08D5366B" w14:textId="77777777" w:rsidR="004E50E5" w:rsidRDefault="00AD310B">
      <w:pPr>
        <w:spacing w:after="84"/>
        <w:ind w:left="95" w:hanging="10"/>
      </w:pPr>
      <w:r>
        <w:rPr>
          <w:rFonts w:ascii="Arial" w:eastAsia="Arial" w:hAnsi="Arial" w:cs="Arial"/>
          <w:b/>
          <w:i/>
          <w:sz w:val="13"/>
        </w:rPr>
        <w:lastRenderedPageBreak/>
        <w:t xml:space="preserve">The following state boards accept courses from APA providers for Addictions Professionals: </w:t>
      </w:r>
      <w:r>
        <w:rPr>
          <w:rFonts w:ascii="Arial" w:eastAsia="Arial" w:hAnsi="Arial" w:cs="Arial"/>
          <w:i/>
          <w:sz w:val="13"/>
        </w:rPr>
        <w:t xml:space="preserve">AK, AR, CO, CT, DC, DE, GA, IA, IN, KS, LA, MD, MO, </w:t>
      </w:r>
    </w:p>
    <w:p w14:paraId="76955FAA" w14:textId="77777777" w:rsidR="004E50E5" w:rsidRDefault="00AD310B">
      <w:pPr>
        <w:spacing w:after="79"/>
        <w:ind w:left="110" w:hanging="10"/>
        <w:jc w:val="both"/>
      </w:pPr>
      <w:r>
        <w:rPr>
          <w:rFonts w:ascii="Arial" w:eastAsia="Arial" w:hAnsi="Arial" w:cs="Arial"/>
          <w:i/>
          <w:sz w:val="13"/>
        </w:rPr>
        <w:t xml:space="preserve">MT, NC, ND, NE, NJ, NM, NY (held outside NY ONLY), OK*, OR, SC, UT, WA, WI, WY </w:t>
      </w:r>
    </w:p>
    <w:p w14:paraId="5B83F0D2" w14:textId="77777777" w:rsidR="004E50E5" w:rsidRDefault="00AD310B">
      <w:pPr>
        <w:spacing w:after="205" w:line="386" w:lineRule="auto"/>
        <w:ind w:left="95" w:hanging="10"/>
      </w:pPr>
      <w:r>
        <w:rPr>
          <w:rFonts w:ascii="Arial" w:eastAsia="Arial" w:hAnsi="Arial" w:cs="Arial"/>
          <w:b/>
          <w:i/>
          <w:sz w:val="13"/>
        </w:rPr>
        <w:t>The following state boards accept courses from APA providers for Social Workers</w:t>
      </w:r>
      <w:r>
        <w:rPr>
          <w:rFonts w:ascii="Arial" w:eastAsia="Arial" w:hAnsi="Arial" w:cs="Arial"/>
          <w:i/>
          <w:sz w:val="13"/>
        </w:rPr>
        <w:t xml:space="preserve">: AK, AR, AZ, CA, CO, DE, FL, GA, ID, IN, KY, ME, MN, MO, NE, NH, NM, OR, PA, VT, WI, WY </w:t>
      </w:r>
    </w:p>
    <w:p w14:paraId="6FBA9010" w14:textId="77777777" w:rsidR="004E50E5" w:rsidRDefault="00AD310B">
      <w:pPr>
        <w:pStyle w:val="Heading1"/>
        <w:spacing w:after="67"/>
        <w:ind w:left="120"/>
      </w:pPr>
      <w:r>
        <w:t xml:space="preserve">Social Workers </w:t>
      </w:r>
    </w:p>
    <w:p w14:paraId="6335A59B" w14:textId="77777777" w:rsidR="004E50E5" w:rsidRDefault="00AD310B">
      <w:pPr>
        <w:spacing w:after="37" w:line="265" w:lineRule="auto"/>
        <w:ind w:left="271" w:hanging="10"/>
      </w:pPr>
      <w:r>
        <w:rPr>
          <w:noProof/>
        </w:rPr>
        <w:drawing>
          <wp:anchor distT="0" distB="0" distL="114300" distR="114300" simplePos="0" relativeHeight="251660288" behindDoc="0" locked="0" layoutInCell="1" allowOverlap="0" wp14:anchorId="487175CD" wp14:editId="43C11D21">
            <wp:simplePos x="0" y="0"/>
            <wp:positionH relativeFrom="column">
              <wp:posOffset>166052</wp:posOffset>
            </wp:positionH>
            <wp:positionV relativeFrom="paragraph">
              <wp:posOffset>37973</wp:posOffset>
            </wp:positionV>
            <wp:extent cx="509384" cy="196850"/>
            <wp:effectExtent l="0" t="0" r="0" b="0"/>
            <wp:wrapSquare wrapText="bothSides"/>
            <wp:docPr id="950" name="Picture 950"/>
            <wp:cNvGraphicFramePr/>
            <a:graphic xmlns:a="http://schemas.openxmlformats.org/drawingml/2006/main">
              <a:graphicData uri="http://schemas.openxmlformats.org/drawingml/2006/picture">
                <pic:pic xmlns:pic="http://schemas.openxmlformats.org/drawingml/2006/picture">
                  <pic:nvPicPr>
                    <pic:cNvPr id="950" name="Picture 950"/>
                    <pic:cNvPicPr/>
                  </pic:nvPicPr>
                  <pic:blipFill>
                    <a:blip r:embed="rId7"/>
                    <a:stretch>
                      <a:fillRect/>
                    </a:stretch>
                  </pic:blipFill>
                  <pic:spPr>
                    <a:xfrm>
                      <a:off x="0" y="0"/>
                      <a:ext cx="509384" cy="196850"/>
                    </a:xfrm>
                    <a:prstGeom prst="rect">
                      <a:avLst/>
                    </a:prstGeom>
                  </pic:spPr>
                </pic:pic>
              </a:graphicData>
            </a:graphic>
          </wp:anchor>
        </w:drawing>
      </w:r>
      <w:r>
        <w:rPr>
          <w:rFonts w:ascii="Arial" w:eastAsia="Arial" w:hAnsi="Arial" w:cs="Arial"/>
          <w:sz w:val="16"/>
        </w:rPr>
        <w:t xml:space="preserve">As a Jointly Accredited Organization, Amedco is approved to offer social work continuing education by the </w:t>
      </w:r>
    </w:p>
    <w:p w14:paraId="1C1F0573" w14:textId="77777777" w:rsidR="004E50E5" w:rsidRDefault="00AD310B">
      <w:pPr>
        <w:spacing w:after="69"/>
        <w:ind w:left="271" w:right="170" w:hanging="10"/>
        <w:jc w:val="right"/>
      </w:pPr>
      <w:r>
        <w:rPr>
          <w:rFonts w:ascii="Arial" w:eastAsia="Arial" w:hAnsi="Arial" w:cs="Arial"/>
          <w:sz w:val="16"/>
        </w:rPr>
        <w:t xml:space="preserve">Association of Social Work Boards (ASWB) Approved Continuing Education (ACE) program. Organizations, not </w:t>
      </w:r>
    </w:p>
    <w:p w14:paraId="6D20D3F5" w14:textId="77777777" w:rsidR="004E50E5" w:rsidRDefault="00AD310B">
      <w:pPr>
        <w:spacing w:after="122" w:line="265" w:lineRule="auto"/>
        <w:ind w:left="120" w:hanging="10"/>
      </w:pPr>
      <w:r>
        <w:rPr>
          <w:rFonts w:ascii="Arial" w:eastAsia="Arial" w:hAnsi="Arial" w:cs="Arial"/>
          <w:sz w:val="16"/>
        </w:rPr>
        <w:t xml:space="preserve">individual </w:t>
      </w:r>
      <w:proofErr w:type="gramStart"/>
      <w:r>
        <w:rPr>
          <w:rFonts w:ascii="Arial" w:eastAsia="Arial" w:hAnsi="Arial" w:cs="Arial"/>
          <w:sz w:val="16"/>
        </w:rPr>
        <w:t>courses,</w:t>
      </w:r>
      <w:proofErr w:type="gramEnd"/>
      <w:r>
        <w:rPr>
          <w:rFonts w:ascii="Arial" w:eastAsia="Arial" w:hAnsi="Arial" w:cs="Arial"/>
          <w:sz w:val="16"/>
        </w:rPr>
        <w:t xml:space="preserve"> are approved under this program. State and provincial regulatory boards have the final authority to determine whether an individual course may be accepted for continuing education credit. Amedco maintains responsibility for this course. ASWB Content Level: Intermediate. Social workers completing this course receive up to 1.50 continuing education credits. </w:t>
      </w:r>
    </w:p>
    <w:p w14:paraId="1F704D46" w14:textId="77777777" w:rsidR="004E50E5" w:rsidRDefault="00AD310B">
      <w:pPr>
        <w:spacing w:after="0"/>
      </w:pPr>
      <w:r>
        <w:rPr>
          <w:rFonts w:ascii="Arial" w:eastAsia="Arial" w:hAnsi="Arial" w:cs="Arial"/>
          <w:sz w:val="16"/>
        </w:rPr>
        <w:t xml:space="preserve"> </w:t>
      </w:r>
    </w:p>
    <w:p w14:paraId="3251463B" w14:textId="77777777" w:rsidR="004E50E5" w:rsidRDefault="00AD310B">
      <w:pPr>
        <w:spacing w:after="84"/>
        <w:ind w:left="611" w:hanging="10"/>
      </w:pPr>
      <w:r>
        <w:rPr>
          <w:rFonts w:ascii="Arial" w:eastAsia="Arial" w:hAnsi="Arial" w:cs="Arial"/>
          <w:b/>
          <w:i/>
          <w:sz w:val="13"/>
        </w:rPr>
        <w:t>The following state boards accept courses offering ASWB ACE credit for Social Workers</w:t>
      </w:r>
      <w:r>
        <w:rPr>
          <w:rFonts w:ascii="Arial" w:eastAsia="Arial" w:hAnsi="Arial" w:cs="Arial"/>
          <w:i/>
          <w:sz w:val="13"/>
        </w:rPr>
        <w:t xml:space="preserve">: AK, AL, AR, AZ, CA, CO, CT, DC, DE, FL, GA, HI, ID, </w:t>
      </w:r>
    </w:p>
    <w:p w14:paraId="73000A11" w14:textId="77777777" w:rsidR="004E50E5" w:rsidRDefault="00AD310B">
      <w:pPr>
        <w:spacing w:after="5" w:line="385" w:lineRule="auto"/>
        <w:ind w:left="596" w:hanging="10"/>
        <w:jc w:val="both"/>
      </w:pPr>
      <w:r>
        <w:rPr>
          <w:rFonts w:ascii="Arial" w:eastAsia="Arial" w:hAnsi="Arial" w:cs="Arial"/>
          <w:i/>
          <w:sz w:val="13"/>
        </w:rPr>
        <w:t xml:space="preserve">IL, IN, IA, KS, KY, LA, ME, MD, MA, MI, MN, MS, MO, MT, NC, ND, NE, NH, NM, NV, OH, OK*, OR, PA, RI, SC, SD, TN, TX, UT, VT, VA, WA, WI, WV*, WY </w:t>
      </w:r>
    </w:p>
    <w:p w14:paraId="638F16B3" w14:textId="77777777" w:rsidR="004E50E5" w:rsidRDefault="00AD310B">
      <w:pPr>
        <w:spacing w:after="79"/>
        <w:ind w:left="596" w:hanging="10"/>
        <w:jc w:val="both"/>
      </w:pPr>
      <w:r>
        <w:rPr>
          <w:rFonts w:ascii="Arial" w:eastAsia="Arial" w:hAnsi="Arial" w:cs="Arial"/>
          <w:b/>
          <w:i/>
          <w:sz w:val="13"/>
        </w:rPr>
        <w:t>*OK</w:t>
      </w:r>
      <w:r>
        <w:rPr>
          <w:rFonts w:ascii="Arial" w:eastAsia="Arial" w:hAnsi="Arial" w:cs="Arial"/>
          <w:i/>
          <w:sz w:val="13"/>
        </w:rPr>
        <w:t xml:space="preserve">: Accepts ASWB ACE for live, in-person activities but not for ethics and/or online courses. </w:t>
      </w:r>
    </w:p>
    <w:p w14:paraId="0366B9DB" w14:textId="77777777" w:rsidR="004E50E5" w:rsidRDefault="00AD310B">
      <w:pPr>
        <w:spacing w:after="79"/>
        <w:ind w:left="596" w:hanging="10"/>
        <w:jc w:val="both"/>
      </w:pPr>
      <w:r>
        <w:rPr>
          <w:rFonts w:ascii="Arial" w:eastAsia="Arial" w:hAnsi="Arial" w:cs="Arial"/>
          <w:b/>
          <w:i/>
          <w:sz w:val="13"/>
        </w:rPr>
        <w:t>*WV</w:t>
      </w:r>
      <w:r>
        <w:rPr>
          <w:rFonts w:ascii="Arial" w:eastAsia="Arial" w:hAnsi="Arial" w:cs="Arial"/>
          <w:i/>
          <w:sz w:val="13"/>
        </w:rPr>
        <w:t xml:space="preserve">: Accepts ASWB ACE unless activity is held live in West Virginia. </w:t>
      </w:r>
    </w:p>
    <w:p w14:paraId="16F4BE75" w14:textId="77777777" w:rsidR="004E50E5" w:rsidRDefault="00AD310B">
      <w:pPr>
        <w:spacing w:after="84"/>
        <w:ind w:left="611" w:hanging="10"/>
      </w:pPr>
      <w:r>
        <w:rPr>
          <w:rFonts w:ascii="Arial" w:eastAsia="Arial" w:hAnsi="Arial" w:cs="Arial"/>
          <w:b/>
          <w:i/>
          <w:sz w:val="13"/>
        </w:rPr>
        <w:t>The following state boards accept courses offering ASWB ACE credit for Counselors</w:t>
      </w:r>
      <w:r>
        <w:rPr>
          <w:rFonts w:ascii="Arial" w:eastAsia="Arial" w:hAnsi="Arial" w:cs="Arial"/>
          <w:i/>
          <w:sz w:val="13"/>
        </w:rPr>
        <w:t xml:space="preserve">: AK, AR, AZ, CA, CO, CT, DC, FL, GA, IA, ID, IL, IN, KS, </w:t>
      </w:r>
    </w:p>
    <w:p w14:paraId="463B5550" w14:textId="77777777" w:rsidR="004E50E5" w:rsidRDefault="00AD310B">
      <w:pPr>
        <w:spacing w:after="79"/>
        <w:ind w:left="596" w:hanging="10"/>
        <w:jc w:val="both"/>
      </w:pPr>
      <w:r>
        <w:rPr>
          <w:rFonts w:ascii="Arial" w:eastAsia="Arial" w:hAnsi="Arial" w:cs="Arial"/>
          <w:i/>
          <w:sz w:val="13"/>
        </w:rPr>
        <w:t xml:space="preserve">MA, MD, ME, MO, ND, NE, NM, NH, NV, OK*, OR, PA, TN, TX, UT, VA, WI, WY </w:t>
      </w:r>
    </w:p>
    <w:p w14:paraId="6D44AA7D" w14:textId="77777777" w:rsidR="004E50E5" w:rsidRDefault="00AD310B">
      <w:pPr>
        <w:spacing w:after="79"/>
        <w:ind w:left="596" w:hanging="10"/>
        <w:jc w:val="both"/>
      </w:pPr>
      <w:r>
        <w:rPr>
          <w:rFonts w:ascii="Arial" w:eastAsia="Arial" w:hAnsi="Arial" w:cs="Arial"/>
          <w:b/>
          <w:i/>
          <w:sz w:val="13"/>
        </w:rPr>
        <w:t xml:space="preserve">MI: </w:t>
      </w:r>
      <w:r>
        <w:rPr>
          <w:rFonts w:ascii="Arial" w:eastAsia="Arial" w:hAnsi="Arial" w:cs="Arial"/>
          <w:i/>
          <w:sz w:val="13"/>
        </w:rPr>
        <w:t xml:space="preserve">No CE requirement </w:t>
      </w:r>
    </w:p>
    <w:p w14:paraId="7E4D61BC" w14:textId="77777777" w:rsidR="004E50E5" w:rsidRDefault="00AD310B">
      <w:pPr>
        <w:spacing w:after="0" w:line="385" w:lineRule="auto"/>
        <w:ind w:left="596" w:hanging="10"/>
        <w:jc w:val="both"/>
      </w:pPr>
      <w:r>
        <w:rPr>
          <w:rFonts w:ascii="Arial" w:eastAsia="Arial" w:hAnsi="Arial" w:cs="Arial"/>
          <w:b/>
          <w:i/>
          <w:sz w:val="13"/>
        </w:rPr>
        <w:t>The following state boards accept courses offering ASWB ACE credit for MFTs</w:t>
      </w:r>
      <w:r>
        <w:rPr>
          <w:rFonts w:ascii="Arial" w:eastAsia="Arial" w:hAnsi="Arial" w:cs="Arial"/>
          <w:i/>
          <w:sz w:val="13"/>
        </w:rPr>
        <w:t xml:space="preserve">: AK, AR, AZ, CA, CO, FL, IA, ID, IN, KS, MD, ME, MO, NC, NE, NH, NM, NV, OK*, OR, PA, RI, TN, TX, UT, VA, WI, WY </w:t>
      </w:r>
    </w:p>
    <w:p w14:paraId="79AB71E3" w14:textId="77777777" w:rsidR="004E50E5" w:rsidRDefault="00AD310B">
      <w:pPr>
        <w:spacing w:after="79"/>
        <w:ind w:left="596" w:hanging="10"/>
        <w:jc w:val="both"/>
      </w:pPr>
      <w:r>
        <w:rPr>
          <w:rFonts w:ascii="Arial" w:eastAsia="Arial" w:hAnsi="Arial" w:cs="Arial"/>
          <w:b/>
          <w:i/>
          <w:sz w:val="13"/>
        </w:rPr>
        <w:t>AL MFTs</w:t>
      </w:r>
      <w:r>
        <w:rPr>
          <w:rFonts w:ascii="Arial" w:eastAsia="Arial" w:hAnsi="Arial" w:cs="Arial"/>
          <w:i/>
          <w:sz w:val="13"/>
        </w:rPr>
        <w:t xml:space="preserve">: Credits authorized by NBCC or any other state licensing agency will be accepted. </w:t>
      </w:r>
    </w:p>
    <w:p w14:paraId="413D16C3" w14:textId="77777777" w:rsidR="004E50E5" w:rsidRDefault="00AD310B">
      <w:pPr>
        <w:spacing w:after="79"/>
        <w:ind w:left="596" w:hanging="10"/>
        <w:jc w:val="both"/>
      </w:pPr>
      <w:r>
        <w:rPr>
          <w:rFonts w:ascii="Arial" w:eastAsia="Arial" w:hAnsi="Arial" w:cs="Arial"/>
          <w:b/>
          <w:i/>
          <w:sz w:val="13"/>
        </w:rPr>
        <w:t>MA MFTs</w:t>
      </w:r>
      <w:r>
        <w:rPr>
          <w:rFonts w:ascii="Arial" w:eastAsia="Arial" w:hAnsi="Arial" w:cs="Arial"/>
          <w:i/>
          <w:sz w:val="13"/>
        </w:rPr>
        <w:t xml:space="preserve">: Participants can self-submit courses not approved by the MAMFT board for review. </w:t>
      </w:r>
    </w:p>
    <w:p w14:paraId="5F9F1612" w14:textId="77777777" w:rsidR="004E50E5" w:rsidRDefault="00AD310B">
      <w:pPr>
        <w:spacing w:after="79"/>
        <w:ind w:left="596" w:hanging="10"/>
        <w:jc w:val="both"/>
      </w:pPr>
      <w:r>
        <w:rPr>
          <w:rFonts w:ascii="Arial" w:eastAsia="Arial" w:hAnsi="Arial" w:cs="Arial"/>
          <w:b/>
          <w:i/>
          <w:sz w:val="13"/>
        </w:rPr>
        <w:t>MI</w:t>
      </w:r>
      <w:r>
        <w:rPr>
          <w:rFonts w:ascii="Arial" w:eastAsia="Arial" w:hAnsi="Arial" w:cs="Arial"/>
          <w:i/>
          <w:sz w:val="13"/>
        </w:rPr>
        <w:t xml:space="preserve">: No CE requirement. </w:t>
      </w:r>
    </w:p>
    <w:p w14:paraId="751EAB92" w14:textId="77777777" w:rsidR="004E50E5" w:rsidRDefault="00AD310B">
      <w:pPr>
        <w:spacing w:after="0" w:line="385" w:lineRule="auto"/>
        <w:ind w:left="596" w:hanging="10"/>
        <w:jc w:val="both"/>
      </w:pPr>
      <w:r>
        <w:rPr>
          <w:rFonts w:ascii="Arial" w:eastAsia="Arial" w:hAnsi="Arial" w:cs="Arial"/>
          <w:b/>
          <w:i/>
          <w:sz w:val="13"/>
        </w:rPr>
        <w:t>The following state boards accept ASWB ACE credit for Addictions Professionals</w:t>
      </w:r>
      <w:r>
        <w:rPr>
          <w:rFonts w:ascii="Arial" w:eastAsia="Arial" w:hAnsi="Arial" w:cs="Arial"/>
          <w:i/>
          <w:sz w:val="13"/>
        </w:rPr>
        <w:t xml:space="preserve">: AK, CA, CO, CT, GA, IA, IN, KS, LA, MO, MT, ND, NM, NV, OK, OR, SC, WA, WI, WV, WY </w:t>
      </w:r>
    </w:p>
    <w:p w14:paraId="34A8E39F" w14:textId="77777777" w:rsidR="004E50E5" w:rsidRDefault="00AD310B">
      <w:pPr>
        <w:spacing w:after="34"/>
      </w:pPr>
      <w:r>
        <w:rPr>
          <w:rFonts w:ascii="Arial" w:eastAsia="Arial" w:hAnsi="Arial" w:cs="Arial"/>
          <w:i/>
          <w:sz w:val="13"/>
        </w:rPr>
        <w:t xml:space="preserve"> </w:t>
      </w:r>
    </w:p>
    <w:p w14:paraId="4E310DAC" w14:textId="77777777" w:rsidR="004E50E5" w:rsidRDefault="00AD310B">
      <w:pPr>
        <w:spacing w:after="74"/>
      </w:pPr>
      <w:r>
        <w:rPr>
          <w:rFonts w:ascii="Arial" w:eastAsia="Arial" w:hAnsi="Arial" w:cs="Arial"/>
          <w:i/>
          <w:sz w:val="13"/>
        </w:rPr>
        <w:t xml:space="preserve"> </w:t>
      </w:r>
    </w:p>
    <w:p w14:paraId="4AE66131" w14:textId="77777777" w:rsidR="004E50E5" w:rsidRDefault="00AD310B">
      <w:pPr>
        <w:pStyle w:val="Heading1"/>
        <w:ind w:left="120"/>
      </w:pPr>
      <w:r>
        <w:t xml:space="preserve">Objectives - After Attending This Program You Should Be Able To </w:t>
      </w:r>
    </w:p>
    <w:p w14:paraId="032B6940" w14:textId="77777777" w:rsidR="004E50E5" w:rsidRDefault="00AD310B">
      <w:pPr>
        <w:numPr>
          <w:ilvl w:val="0"/>
          <w:numId w:val="1"/>
        </w:numPr>
        <w:spacing w:after="37" w:line="265" w:lineRule="auto"/>
        <w:ind w:hanging="180"/>
      </w:pPr>
      <w:r>
        <w:rPr>
          <w:rFonts w:ascii="Arial" w:eastAsia="Arial" w:hAnsi="Arial" w:cs="Arial"/>
          <w:sz w:val="16"/>
        </w:rPr>
        <w:t xml:space="preserve">Understand the Bio-psycho-social-spiritual definition of Addiction. </w:t>
      </w:r>
    </w:p>
    <w:p w14:paraId="33716490" w14:textId="77777777" w:rsidR="004E50E5" w:rsidRDefault="00AD310B">
      <w:pPr>
        <w:numPr>
          <w:ilvl w:val="0"/>
          <w:numId w:val="1"/>
        </w:numPr>
        <w:spacing w:after="37" w:line="265" w:lineRule="auto"/>
        <w:ind w:hanging="180"/>
      </w:pPr>
      <w:proofErr w:type="gramStart"/>
      <w:r>
        <w:rPr>
          <w:rFonts w:ascii="Arial" w:eastAsia="Arial" w:hAnsi="Arial" w:cs="Arial"/>
          <w:sz w:val="16"/>
        </w:rPr>
        <w:t>Appreciate</w:t>
      </w:r>
      <w:proofErr w:type="gramEnd"/>
      <w:r>
        <w:rPr>
          <w:rFonts w:ascii="Arial" w:eastAsia="Arial" w:hAnsi="Arial" w:cs="Arial"/>
          <w:sz w:val="16"/>
        </w:rPr>
        <w:t xml:space="preserve"> the limitations of DSM 5 in addressing the depth and </w:t>
      </w:r>
      <w:r>
        <w:rPr>
          <w:rFonts w:ascii="Arial" w:eastAsia="Arial" w:hAnsi="Arial" w:cs="Arial"/>
          <w:sz w:val="16"/>
        </w:rPr>
        <w:t xml:space="preserve">breadth of mental health issues. </w:t>
      </w:r>
    </w:p>
    <w:p w14:paraId="202BB784" w14:textId="77777777" w:rsidR="004E50E5" w:rsidRDefault="00AD310B">
      <w:pPr>
        <w:numPr>
          <w:ilvl w:val="0"/>
          <w:numId w:val="1"/>
        </w:numPr>
        <w:spacing w:after="37" w:line="265" w:lineRule="auto"/>
        <w:ind w:hanging="180"/>
      </w:pPr>
      <w:r>
        <w:rPr>
          <w:rFonts w:ascii="Arial" w:eastAsia="Arial" w:hAnsi="Arial" w:cs="Arial"/>
          <w:sz w:val="16"/>
        </w:rPr>
        <w:t xml:space="preserve">Learn a comprehensive, unified approach to clinically assess and treat Addiction and Mental Health problems in a patient- centered chronic disease framework. </w:t>
      </w:r>
    </w:p>
    <w:p w14:paraId="482C0D35" w14:textId="77777777" w:rsidR="004E50E5" w:rsidRDefault="00AD310B">
      <w:pPr>
        <w:spacing w:after="126"/>
      </w:pPr>
      <w:r>
        <w:rPr>
          <w:rFonts w:ascii="Arial" w:eastAsia="Arial" w:hAnsi="Arial" w:cs="Arial"/>
          <w:sz w:val="16"/>
        </w:rPr>
        <w:t xml:space="preserve"> </w:t>
      </w:r>
    </w:p>
    <w:p w14:paraId="5D038451" w14:textId="77777777" w:rsidR="004E50E5" w:rsidRDefault="00AD310B">
      <w:pPr>
        <w:spacing w:after="51"/>
      </w:pPr>
      <w:r>
        <w:rPr>
          <w:rFonts w:ascii="Arial" w:eastAsia="Arial" w:hAnsi="Arial" w:cs="Arial"/>
          <w:sz w:val="16"/>
        </w:rPr>
        <w:t xml:space="preserve"> </w:t>
      </w:r>
    </w:p>
    <w:p w14:paraId="6AF7FE00" w14:textId="77777777" w:rsidR="004E50E5" w:rsidRDefault="00AD310B">
      <w:pPr>
        <w:pStyle w:val="Heading1"/>
        <w:ind w:left="120"/>
      </w:pPr>
      <w:r>
        <w:t xml:space="preserve">Disclosure of Conflict of Interest </w:t>
      </w:r>
    </w:p>
    <w:p w14:paraId="46D83964" w14:textId="77777777" w:rsidR="004E50E5" w:rsidRDefault="00AD310B">
      <w:pPr>
        <w:spacing w:after="37" w:line="328" w:lineRule="auto"/>
        <w:ind w:left="120" w:hanging="10"/>
      </w:pPr>
      <w:r>
        <w:rPr>
          <w:rFonts w:ascii="Arial" w:eastAsia="Arial" w:hAnsi="Arial" w:cs="Arial"/>
          <w:sz w:val="16"/>
        </w:rPr>
        <w:t xml:space="preserve">The following table of disclosure information is provided to learners and contains the relevant financial relationships that </w:t>
      </w:r>
      <w:proofErr w:type="gramStart"/>
      <w:r>
        <w:rPr>
          <w:rFonts w:ascii="Arial" w:eastAsia="Arial" w:hAnsi="Arial" w:cs="Arial"/>
          <w:sz w:val="16"/>
        </w:rPr>
        <w:t>each individual</w:t>
      </w:r>
      <w:proofErr w:type="gramEnd"/>
      <w:r>
        <w:rPr>
          <w:rFonts w:ascii="Arial" w:eastAsia="Arial" w:hAnsi="Arial" w:cs="Arial"/>
          <w:sz w:val="16"/>
        </w:rPr>
        <w:t xml:space="preserve"> in a position to control the content disclosed to Amedco. All of these relationships were treated as a conflict of </w:t>
      </w:r>
      <w:proofErr w:type="gramStart"/>
      <w:r>
        <w:rPr>
          <w:rFonts w:ascii="Arial" w:eastAsia="Arial" w:hAnsi="Arial" w:cs="Arial"/>
          <w:sz w:val="16"/>
        </w:rPr>
        <w:t>interest, and</w:t>
      </w:r>
      <w:proofErr w:type="gramEnd"/>
      <w:r>
        <w:rPr>
          <w:rFonts w:ascii="Arial" w:eastAsia="Arial" w:hAnsi="Arial" w:cs="Arial"/>
          <w:sz w:val="16"/>
        </w:rPr>
        <w:t xml:space="preserve"> have been resolved. (C7 SCS 6.1-6.2, 6.5) </w:t>
      </w:r>
    </w:p>
    <w:p w14:paraId="701E80AD" w14:textId="77777777" w:rsidR="004E50E5" w:rsidRDefault="00AD310B">
      <w:pPr>
        <w:spacing w:after="0"/>
      </w:pPr>
      <w:r>
        <w:rPr>
          <w:rFonts w:ascii="Arial" w:eastAsia="Arial" w:hAnsi="Arial" w:cs="Arial"/>
          <w:sz w:val="16"/>
        </w:rPr>
        <w:t xml:space="preserve"> </w:t>
      </w:r>
    </w:p>
    <w:p w14:paraId="5D3B5466" w14:textId="77777777" w:rsidR="004E50E5" w:rsidRDefault="00AD310B">
      <w:pPr>
        <w:spacing w:after="112" w:line="265" w:lineRule="auto"/>
        <w:ind w:left="120" w:hanging="10"/>
      </w:pPr>
      <w:r>
        <w:rPr>
          <w:rFonts w:ascii="Arial" w:eastAsia="Arial" w:hAnsi="Arial" w:cs="Arial"/>
          <w:sz w:val="16"/>
        </w:rPr>
        <w:t xml:space="preserve">All individuals in a position to control the content of CE are listed below. </w:t>
      </w:r>
    </w:p>
    <w:p w14:paraId="4821A818" w14:textId="77777777" w:rsidR="004E50E5" w:rsidRDefault="00AD310B">
      <w:pPr>
        <w:spacing w:after="0"/>
      </w:pPr>
      <w:r>
        <w:rPr>
          <w:rFonts w:ascii="Arial" w:eastAsia="Arial" w:hAnsi="Arial" w:cs="Arial"/>
          <w:sz w:val="20"/>
        </w:rPr>
        <w:t xml:space="preserve"> </w:t>
      </w:r>
    </w:p>
    <w:p w14:paraId="4E3A6ECB" w14:textId="77777777" w:rsidR="004E50E5" w:rsidRDefault="00AD310B">
      <w:pPr>
        <w:tabs>
          <w:tab w:val="center" w:pos="4157"/>
        </w:tabs>
        <w:spacing w:after="0"/>
      </w:pPr>
      <w:r>
        <w:rPr>
          <w:rFonts w:ascii="Arial" w:eastAsia="Arial" w:hAnsi="Arial" w:cs="Arial"/>
          <w:b/>
          <w:sz w:val="16"/>
        </w:rPr>
        <w:t xml:space="preserve">Name </w:t>
      </w:r>
      <w:r>
        <w:rPr>
          <w:rFonts w:ascii="Arial" w:eastAsia="Arial" w:hAnsi="Arial" w:cs="Arial"/>
          <w:b/>
          <w:sz w:val="16"/>
        </w:rPr>
        <w:tab/>
        <w:t xml:space="preserve">Commercial </w:t>
      </w:r>
      <w:proofErr w:type="spellStart"/>
      <w:proofErr w:type="gramStart"/>
      <w:r>
        <w:rPr>
          <w:rFonts w:ascii="Arial" w:eastAsia="Arial" w:hAnsi="Arial" w:cs="Arial"/>
          <w:b/>
          <w:sz w:val="16"/>
        </w:rPr>
        <w:t>Interest:Relationship</w:t>
      </w:r>
      <w:proofErr w:type="spellEnd"/>
      <w:proofErr w:type="gramEnd"/>
      <w:r>
        <w:rPr>
          <w:rFonts w:ascii="Arial" w:eastAsia="Arial" w:hAnsi="Arial" w:cs="Arial"/>
          <w:b/>
          <w:sz w:val="16"/>
        </w:rPr>
        <w:t xml:space="preserve"> </w:t>
      </w:r>
    </w:p>
    <w:tbl>
      <w:tblPr>
        <w:tblStyle w:val="TableGrid"/>
        <w:tblW w:w="9234" w:type="dxa"/>
        <w:tblInd w:w="120" w:type="dxa"/>
        <w:tblCellMar>
          <w:top w:w="28" w:type="dxa"/>
          <w:left w:w="0" w:type="dxa"/>
          <w:bottom w:w="0" w:type="dxa"/>
          <w:right w:w="115" w:type="dxa"/>
        </w:tblCellMar>
        <w:tblLook w:val="04A0" w:firstRow="1" w:lastRow="0" w:firstColumn="1" w:lastColumn="0" w:noHBand="0" w:noVBand="1"/>
      </w:tblPr>
      <w:tblGrid>
        <w:gridCol w:w="2777"/>
        <w:gridCol w:w="6457"/>
      </w:tblGrid>
      <w:tr w:rsidR="004E50E5" w14:paraId="3F21288F" w14:textId="77777777">
        <w:trPr>
          <w:trHeight w:val="270"/>
        </w:trPr>
        <w:tc>
          <w:tcPr>
            <w:tcW w:w="2777" w:type="dxa"/>
            <w:tcBorders>
              <w:top w:val="single" w:sz="6" w:space="0" w:color="DDDDDD"/>
              <w:left w:val="nil"/>
              <w:bottom w:val="single" w:sz="6" w:space="0" w:color="DDDDDD"/>
              <w:right w:val="nil"/>
            </w:tcBorders>
          </w:tcPr>
          <w:p w14:paraId="32B945ED" w14:textId="77777777" w:rsidR="004E50E5" w:rsidRDefault="00AD310B">
            <w:pPr>
              <w:spacing w:after="0"/>
              <w:ind w:left="15"/>
            </w:pPr>
            <w:r>
              <w:rPr>
                <w:rFonts w:ascii="Arial" w:eastAsia="Arial" w:hAnsi="Arial" w:cs="Arial"/>
                <w:sz w:val="16"/>
              </w:rPr>
              <w:t xml:space="preserve">Tammy Gaser </w:t>
            </w:r>
          </w:p>
        </w:tc>
        <w:tc>
          <w:tcPr>
            <w:tcW w:w="6458" w:type="dxa"/>
            <w:tcBorders>
              <w:top w:val="single" w:sz="6" w:space="0" w:color="DDDDDD"/>
              <w:left w:val="nil"/>
              <w:bottom w:val="single" w:sz="6" w:space="0" w:color="DDDDDD"/>
              <w:right w:val="nil"/>
            </w:tcBorders>
          </w:tcPr>
          <w:p w14:paraId="08BC6952" w14:textId="77777777" w:rsidR="004E50E5" w:rsidRDefault="00AD310B">
            <w:pPr>
              <w:spacing w:after="0"/>
            </w:pPr>
            <w:r>
              <w:rPr>
                <w:rFonts w:ascii="Arial" w:eastAsia="Arial" w:hAnsi="Arial" w:cs="Arial"/>
                <w:sz w:val="16"/>
              </w:rPr>
              <w:t xml:space="preserve">NA </w:t>
            </w:r>
          </w:p>
        </w:tc>
      </w:tr>
      <w:tr w:rsidR="004E50E5" w14:paraId="77AE5808" w14:textId="77777777">
        <w:trPr>
          <w:trHeight w:val="260"/>
        </w:trPr>
        <w:tc>
          <w:tcPr>
            <w:tcW w:w="2777" w:type="dxa"/>
            <w:tcBorders>
              <w:top w:val="single" w:sz="6" w:space="0" w:color="DDDDDD"/>
              <w:left w:val="nil"/>
              <w:bottom w:val="single" w:sz="6" w:space="0" w:color="DDDDDD"/>
              <w:right w:val="nil"/>
            </w:tcBorders>
          </w:tcPr>
          <w:p w14:paraId="761DD182" w14:textId="77777777" w:rsidR="004E50E5" w:rsidRDefault="00AD310B">
            <w:pPr>
              <w:spacing w:after="0"/>
              <w:ind w:left="15"/>
            </w:pPr>
            <w:r>
              <w:rPr>
                <w:rFonts w:ascii="Arial" w:eastAsia="Arial" w:hAnsi="Arial" w:cs="Arial"/>
                <w:sz w:val="16"/>
              </w:rPr>
              <w:t xml:space="preserve">Raju Hajela </w:t>
            </w:r>
          </w:p>
        </w:tc>
        <w:tc>
          <w:tcPr>
            <w:tcW w:w="6458" w:type="dxa"/>
            <w:tcBorders>
              <w:top w:val="single" w:sz="6" w:space="0" w:color="DDDDDD"/>
              <w:left w:val="nil"/>
              <w:bottom w:val="single" w:sz="6" w:space="0" w:color="DDDDDD"/>
              <w:right w:val="nil"/>
            </w:tcBorders>
          </w:tcPr>
          <w:p w14:paraId="70FB6714" w14:textId="77777777" w:rsidR="004E50E5" w:rsidRDefault="00AD310B">
            <w:pPr>
              <w:spacing w:after="0"/>
            </w:pPr>
            <w:r>
              <w:rPr>
                <w:rFonts w:ascii="Arial" w:eastAsia="Arial" w:hAnsi="Arial" w:cs="Arial"/>
                <w:sz w:val="16"/>
              </w:rPr>
              <w:t xml:space="preserve">NA </w:t>
            </w:r>
          </w:p>
        </w:tc>
      </w:tr>
      <w:tr w:rsidR="004E50E5" w14:paraId="139F47E7" w14:textId="77777777">
        <w:trPr>
          <w:trHeight w:val="265"/>
        </w:trPr>
        <w:tc>
          <w:tcPr>
            <w:tcW w:w="2777" w:type="dxa"/>
            <w:tcBorders>
              <w:top w:val="single" w:sz="6" w:space="0" w:color="DDDDDD"/>
              <w:left w:val="nil"/>
              <w:bottom w:val="single" w:sz="6" w:space="0" w:color="DDDDDD"/>
              <w:right w:val="nil"/>
            </w:tcBorders>
          </w:tcPr>
          <w:p w14:paraId="76742F27" w14:textId="77777777" w:rsidR="004E50E5" w:rsidRDefault="00AD310B">
            <w:pPr>
              <w:spacing w:after="0"/>
              <w:ind w:left="15"/>
            </w:pPr>
            <w:r>
              <w:rPr>
                <w:rFonts w:ascii="Arial" w:eastAsia="Arial" w:hAnsi="Arial" w:cs="Arial"/>
                <w:sz w:val="16"/>
              </w:rPr>
              <w:t xml:space="preserve">Jo Shultz </w:t>
            </w:r>
          </w:p>
        </w:tc>
        <w:tc>
          <w:tcPr>
            <w:tcW w:w="6458" w:type="dxa"/>
            <w:tcBorders>
              <w:top w:val="single" w:sz="6" w:space="0" w:color="DDDDDD"/>
              <w:left w:val="nil"/>
              <w:bottom w:val="single" w:sz="6" w:space="0" w:color="DDDDDD"/>
              <w:right w:val="nil"/>
            </w:tcBorders>
          </w:tcPr>
          <w:p w14:paraId="6241DBEF" w14:textId="77777777" w:rsidR="004E50E5" w:rsidRDefault="00AD310B">
            <w:pPr>
              <w:spacing w:after="0"/>
            </w:pPr>
            <w:r>
              <w:rPr>
                <w:rFonts w:ascii="Arial" w:eastAsia="Arial" w:hAnsi="Arial" w:cs="Arial"/>
                <w:sz w:val="16"/>
              </w:rPr>
              <w:t xml:space="preserve">NA </w:t>
            </w:r>
          </w:p>
        </w:tc>
      </w:tr>
    </w:tbl>
    <w:p w14:paraId="609627DB" w14:textId="77777777" w:rsidR="004E50E5" w:rsidRDefault="00AD310B">
      <w:pPr>
        <w:spacing w:after="141"/>
      </w:pPr>
      <w:r>
        <w:rPr>
          <w:rFonts w:ascii="Arial" w:eastAsia="Arial" w:hAnsi="Arial" w:cs="Arial"/>
          <w:sz w:val="16"/>
        </w:rPr>
        <w:t xml:space="preserve"> </w:t>
      </w:r>
    </w:p>
    <w:p w14:paraId="7B83EC93" w14:textId="77777777" w:rsidR="004E50E5" w:rsidRDefault="00AD310B">
      <w:pPr>
        <w:spacing w:after="61"/>
      </w:pPr>
      <w:r>
        <w:rPr>
          <w:rFonts w:ascii="Arial" w:eastAsia="Arial" w:hAnsi="Arial" w:cs="Arial"/>
          <w:sz w:val="16"/>
        </w:rPr>
        <w:t xml:space="preserve"> </w:t>
      </w:r>
    </w:p>
    <w:p w14:paraId="0F17B273" w14:textId="77777777" w:rsidR="004E50E5" w:rsidRDefault="00AD310B">
      <w:pPr>
        <w:pStyle w:val="Heading1"/>
        <w:ind w:left="120"/>
      </w:pPr>
      <w:r>
        <w:t xml:space="preserve">How to Get Your Certificate </w:t>
      </w:r>
    </w:p>
    <w:p w14:paraId="1B25A0C0" w14:textId="77777777" w:rsidR="004E50E5" w:rsidRDefault="00AD310B">
      <w:pPr>
        <w:numPr>
          <w:ilvl w:val="0"/>
          <w:numId w:val="2"/>
        </w:numPr>
        <w:spacing w:after="44"/>
        <w:ind w:hanging="181"/>
      </w:pPr>
      <w:r>
        <w:rPr>
          <w:rFonts w:ascii="Arial" w:eastAsia="Arial" w:hAnsi="Arial" w:cs="Arial"/>
          <w:sz w:val="16"/>
        </w:rPr>
        <w:t>Go to</w:t>
      </w:r>
      <w:hyperlink r:id="rId8">
        <w:r>
          <w:rPr>
            <w:rFonts w:ascii="Arial" w:eastAsia="Arial" w:hAnsi="Arial" w:cs="Arial"/>
            <w:sz w:val="16"/>
          </w:rPr>
          <w:t xml:space="preserve"> </w:t>
        </w:r>
      </w:hyperlink>
      <w:hyperlink r:id="rId9">
        <w:r>
          <w:rPr>
            <w:rFonts w:ascii="Arial" w:eastAsia="Arial" w:hAnsi="Arial" w:cs="Arial"/>
            <w:color w:val="1B6485"/>
            <w:sz w:val="16"/>
            <w:u w:val="single" w:color="1B6485"/>
          </w:rPr>
          <w:t>gmh.cmecertificateonline.com</w:t>
        </w:r>
      </w:hyperlink>
      <w:hyperlink r:id="rId10">
        <w:r>
          <w:rPr>
            <w:rFonts w:ascii="Arial" w:eastAsia="Arial" w:hAnsi="Arial" w:cs="Arial"/>
            <w:sz w:val="16"/>
          </w:rPr>
          <w:t xml:space="preserve"> </w:t>
        </w:r>
      </w:hyperlink>
    </w:p>
    <w:p w14:paraId="0D94975B" w14:textId="77777777" w:rsidR="004E50E5" w:rsidRDefault="00AD310B">
      <w:pPr>
        <w:numPr>
          <w:ilvl w:val="0"/>
          <w:numId w:val="2"/>
        </w:numPr>
        <w:spacing w:after="47"/>
        <w:ind w:hanging="181"/>
      </w:pPr>
      <w:r>
        <w:rPr>
          <w:rFonts w:ascii="Arial" w:eastAsia="Arial" w:hAnsi="Arial" w:cs="Arial"/>
          <w:sz w:val="16"/>
        </w:rPr>
        <w:t xml:space="preserve">Click on the </w:t>
      </w:r>
      <w:r>
        <w:rPr>
          <w:rFonts w:ascii="Arial" w:eastAsia="Arial" w:hAnsi="Arial" w:cs="Arial"/>
          <w:b/>
          <w:sz w:val="16"/>
        </w:rPr>
        <w:t xml:space="preserve">ENDURING From Spirituality to Behaviors: Defining Addiction and Mental Health </w:t>
      </w:r>
      <w:r>
        <w:rPr>
          <w:rFonts w:ascii="Arial" w:eastAsia="Arial" w:hAnsi="Arial" w:cs="Arial"/>
          <w:sz w:val="16"/>
        </w:rPr>
        <w:t xml:space="preserve">link. </w:t>
      </w:r>
    </w:p>
    <w:p w14:paraId="187F3AFA" w14:textId="77777777" w:rsidR="004E50E5" w:rsidRDefault="00AD310B">
      <w:pPr>
        <w:numPr>
          <w:ilvl w:val="0"/>
          <w:numId w:val="2"/>
        </w:numPr>
        <w:spacing w:after="37" w:line="265" w:lineRule="auto"/>
        <w:ind w:hanging="181"/>
      </w:pPr>
      <w:r>
        <w:rPr>
          <w:rFonts w:ascii="Arial" w:eastAsia="Arial" w:hAnsi="Arial" w:cs="Arial"/>
          <w:sz w:val="16"/>
        </w:rPr>
        <w:t xml:space="preserve">Evaluate the meeting. </w:t>
      </w:r>
    </w:p>
    <w:p w14:paraId="64065625" w14:textId="77777777" w:rsidR="004E50E5" w:rsidRDefault="00AD310B">
      <w:pPr>
        <w:numPr>
          <w:ilvl w:val="0"/>
          <w:numId w:val="2"/>
        </w:numPr>
        <w:spacing w:after="37" w:line="265" w:lineRule="auto"/>
        <w:ind w:hanging="181"/>
      </w:pPr>
      <w:r>
        <w:rPr>
          <w:rFonts w:ascii="Arial" w:eastAsia="Arial" w:hAnsi="Arial" w:cs="Arial"/>
          <w:sz w:val="16"/>
        </w:rPr>
        <w:lastRenderedPageBreak/>
        <w:t xml:space="preserve">Print, download, or save your certificate for your records. </w:t>
      </w:r>
    </w:p>
    <w:p w14:paraId="6223B4A9" w14:textId="77777777" w:rsidR="004E50E5" w:rsidRDefault="00AD310B">
      <w:pPr>
        <w:numPr>
          <w:ilvl w:val="0"/>
          <w:numId w:val="2"/>
        </w:numPr>
        <w:spacing w:after="0" w:line="265" w:lineRule="auto"/>
        <w:ind w:hanging="181"/>
      </w:pPr>
      <w:r>
        <w:rPr>
          <w:rFonts w:ascii="Arial" w:eastAsia="Arial" w:hAnsi="Arial" w:cs="Arial"/>
          <w:sz w:val="16"/>
        </w:rPr>
        <w:t xml:space="preserve">If you lose your </w:t>
      </w:r>
      <w:r>
        <w:rPr>
          <w:rFonts w:ascii="Arial" w:eastAsia="Arial" w:hAnsi="Arial" w:cs="Arial"/>
          <w:sz w:val="16"/>
        </w:rPr>
        <w:t>certificate, or need help, go to</w:t>
      </w:r>
      <w:hyperlink r:id="rId11">
        <w:r>
          <w:rPr>
            <w:rFonts w:ascii="Arial" w:eastAsia="Arial" w:hAnsi="Arial" w:cs="Arial"/>
            <w:sz w:val="16"/>
          </w:rPr>
          <w:t xml:space="preserve"> </w:t>
        </w:r>
      </w:hyperlink>
      <w:hyperlink r:id="rId12">
        <w:r>
          <w:rPr>
            <w:rFonts w:ascii="Arial" w:eastAsia="Arial" w:hAnsi="Arial" w:cs="Arial"/>
            <w:color w:val="1B6485"/>
            <w:sz w:val="16"/>
            <w:u w:val="single" w:color="2CA4DA"/>
          </w:rPr>
          <w:t>help.cmecertificateonline.com</w:t>
        </w:r>
      </w:hyperlink>
      <w:hyperlink r:id="rId13">
        <w:r>
          <w:rPr>
            <w:rFonts w:ascii="Arial" w:eastAsia="Arial" w:hAnsi="Arial" w:cs="Arial"/>
            <w:sz w:val="16"/>
          </w:rPr>
          <w:t xml:space="preserve"> </w:t>
        </w:r>
      </w:hyperlink>
    </w:p>
    <w:p w14:paraId="0ED6B4D4" w14:textId="77777777" w:rsidR="004E50E5" w:rsidRDefault="00AD310B">
      <w:pPr>
        <w:spacing w:after="0"/>
        <w:ind w:left="-248" w:right="-427"/>
      </w:pPr>
      <w:r>
        <w:rPr>
          <w:noProof/>
        </w:rPr>
        <mc:AlternateContent>
          <mc:Choice Requires="wpg">
            <w:drawing>
              <wp:inline distT="0" distB="0" distL="0" distR="0" wp14:anchorId="628744CA" wp14:editId="7A66F65C">
                <wp:extent cx="6324601" cy="7905"/>
                <wp:effectExtent l="0" t="0" r="0" b="0"/>
                <wp:docPr id="5255" name="Group 5255"/>
                <wp:cNvGraphicFramePr/>
                <a:graphic xmlns:a="http://schemas.openxmlformats.org/drawingml/2006/main">
                  <a:graphicData uri="http://schemas.microsoft.com/office/word/2010/wordprocessingGroup">
                    <wpg:wgp>
                      <wpg:cNvGrpSpPr/>
                      <wpg:grpSpPr>
                        <a:xfrm>
                          <a:off x="0" y="0"/>
                          <a:ext cx="6324601" cy="7905"/>
                          <a:chOff x="0" y="0"/>
                          <a:chExt cx="6324601" cy="7905"/>
                        </a:xfrm>
                      </wpg:grpSpPr>
                      <wps:wsp>
                        <wps:cNvPr id="6034" name="Shape 6034"/>
                        <wps:cNvSpPr/>
                        <wps:spPr>
                          <a:xfrm>
                            <a:off x="0" y="0"/>
                            <a:ext cx="6324601" cy="9144"/>
                          </a:xfrm>
                          <a:custGeom>
                            <a:avLst/>
                            <a:gdLst/>
                            <a:ahLst/>
                            <a:cxnLst/>
                            <a:rect l="0" t="0" r="0" b="0"/>
                            <a:pathLst>
                              <a:path w="6324601" h="9144">
                                <a:moveTo>
                                  <a:pt x="0" y="0"/>
                                </a:moveTo>
                                <a:lnTo>
                                  <a:pt x="6324601" y="0"/>
                                </a:lnTo>
                                <a:lnTo>
                                  <a:pt x="6324601" y="9144"/>
                                </a:lnTo>
                                <a:lnTo>
                                  <a:pt x="0" y="9144"/>
                                </a:lnTo>
                                <a:lnTo>
                                  <a:pt x="0" y="0"/>
                                </a:lnTo>
                              </a:path>
                            </a:pathLst>
                          </a:custGeom>
                          <a:ln w="0" cap="flat">
                            <a:miter lim="127000"/>
                          </a:ln>
                        </wps:spPr>
                        <wps:style>
                          <a:lnRef idx="0">
                            <a:srgbClr val="000000">
                              <a:alpha val="0"/>
                            </a:srgbClr>
                          </a:lnRef>
                          <a:fillRef idx="1">
                            <a:srgbClr val="000000">
                              <a:alpha val="10196"/>
                            </a:srgbClr>
                          </a:fillRef>
                          <a:effectRef idx="0">
                            <a:scrgbClr r="0" g="0" b="0"/>
                          </a:effectRef>
                          <a:fontRef idx="none"/>
                        </wps:style>
                        <wps:bodyPr/>
                      </wps:wsp>
                    </wpg:wgp>
                  </a:graphicData>
                </a:graphic>
              </wp:inline>
            </w:drawing>
          </mc:Choice>
          <mc:Fallback xmlns:a="http://schemas.openxmlformats.org/drawingml/2006/main">
            <w:pict>
              <v:group id="Group 5255" style="width:498pt;height:0.622437pt;mso-position-horizontal-relative:char;mso-position-vertical-relative:line" coordsize="63246,79">
                <v:shape id="Shape 6035" style="position:absolute;width:63246;height:91;left:0;top:0;" coordsize="6324601,9144" path="m0,0l6324601,0l6324601,9144l0,9144l0,0">
                  <v:stroke weight="0pt" endcap="flat" joinstyle="miter" miterlimit="10" on="false" color="#000000" opacity="0"/>
                  <v:fill on="true" color="#000000" opacity="0.101961"/>
                </v:shape>
              </v:group>
            </w:pict>
          </mc:Fallback>
        </mc:AlternateContent>
      </w:r>
    </w:p>
    <w:sectPr w:rsidR="004E50E5">
      <w:pgSz w:w="12240" w:h="15840"/>
      <w:pgMar w:top="594" w:right="1654" w:bottom="983"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015FF"/>
    <w:multiLevelType w:val="hybridMultilevel"/>
    <w:tmpl w:val="32EC0DAE"/>
    <w:lvl w:ilvl="0" w:tplc="2F5C3CE6">
      <w:start w:val="1"/>
      <w:numFmt w:val="decimal"/>
      <w:lvlText w:val="%1."/>
      <w:lvlJc w:val="left"/>
      <w:pPr>
        <w:ind w:left="5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2400824">
      <w:start w:val="1"/>
      <w:numFmt w:val="lowerLetter"/>
      <w:lvlText w:val="%2"/>
      <w:lvlJc w:val="left"/>
      <w:pPr>
        <w:ind w:left="13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FD4D298">
      <w:start w:val="1"/>
      <w:numFmt w:val="lowerRoman"/>
      <w:lvlText w:val="%3"/>
      <w:lvlJc w:val="left"/>
      <w:pPr>
        <w:ind w:left="21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7EA3C36">
      <w:start w:val="1"/>
      <w:numFmt w:val="decimal"/>
      <w:lvlText w:val="%4"/>
      <w:lvlJc w:val="left"/>
      <w:pPr>
        <w:ind w:left="28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2784066">
      <w:start w:val="1"/>
      <w:numFmt w:val="lowerLetter"/>
      <w:lvlText w:val="%5"/>
      <w:lvlJc w:val="left"/>
      <w:pPr>
        <w:ind w:left="35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A3E1BBE">
      <w:start w:val="1"/>
      <w:numFmt w:val="lowerRoman"/>
      <w:lvlText w:val="%6"/>
      <w:lvlJc w:val="left"/>
      <w:pPr>
        <w:ind w:left="42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C2454D6">
      <w:start w:val="1"/>
      <w:numFmt w:val="decimal"/>
      <w:lvlText w:val="%7"/>
      <w:lvlJc w:val="left"/>
      <w:pPr>
        <w:ind w:left="49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DFEDDE6">
      <w:start w:val="1"/>
      <w:numFmt w:val="lowerLetter"/>
      <w:lvlText w:val="%8"/>
      <w:lvlJc w:val="left"/>
      <w:pPr>
        <w:ind w:left="57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5341276">
      <w:start w:val="1"/>
      <w:numFmt w:val="lowerRoman"/>
      <w:lvlText w:val="%9"/>
      <w:lvlJc w:val="left"/>
      <w:pPr>
        <w:ind w:left="6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AAF0038"/>
    <w:multiLevelType w:val="hybridMultilevel"/>
    <w:tmpl w:val="480A2F94"/>
    <w:lvl w:ilvl="0" w:tplc="C0DC728E">
      <w:start w:val="1"/>
      <w:numFmt w:val="decimal"/>
      <w:lvlText w:val="%1."/>
      <w:lvlJc w:val="left"/>
      <w:pPr>
        <w:ind w:left="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616BC46">
      <w:start w:val="1"/>
      <w:numFmt w:val="lowerLetter"/>
      <w:lvlText w:val="%2"/>
      <w:lvlJc w:val="left"/>
      <w:pPr>
        <w:ind w:left="12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B6CBD80">
      <w:start w:val="1"/>
      <w:numFmt w:val="lowerRoman"/>
      <w:lvlText w:val="%3"/>
      <w:lvlJc w:val="left"/>
      <w:pPr>
        <w:ind w:left="19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882CF60">
      <w:start w:val="1"/>
      <w:numFmt w:val="decimal"/>
      <w:lvlText w:val="%4"/>
      <w:lvlJc w:val="left"/>
      <w:pPr>
        <w:ind w:left="26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1F2B5A6">
      <w:start w:val="1"/>
      <w:numFmt w:val="lowerLetter"/>
      <w:lvlText w:val="%5"/>
      <w:lvlJc w:val="left"/>
      <w:pPr>
        <w:ind w:left="3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57C6798">
      <w:start w:val="1"/>
      <w:numFmt w:val="lowerRoman"/>
      <w:lvlText w:val="%6"/>
      <w:lvlJc w:val="left"/>
      <w:pPr>
        <w:ind w:left="40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17A5F4A">
      <w:start w:val="1"/>
      <w:numFmt w:val="decimal"/>
      <w:lvlText w:val="%7"/>
      <w:lvlJc w:val="left"/>
      <w:pPr>
        <w:ind w:left="48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8487486">
      <w:start w:val="1"/>
      <w:numFmt w:val="lowerLetter"/>
      <w:lvlText w:val="%8"/>
      <w:lvlJc w:val="left"/>
      <w:pPr>
        <w:ind w:left="55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0702842">
      <w:start w:val="1"/>
      <w:numFmt w:val="lowerRoman"/>
      <w:lvlText w:val="%9"/>
      <w:lvlJc w:val="left"/>
      <w:pPr>
        <w:ind w:left="62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657145874">
    <w:abstractNumId w:val="1"/>
  </w:num>
  <w:num w:numId="2" w16cid:durableId="63715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E5"/>
    <w:rsid w:val="00307201"/>
    <w:rsid w:val="004E50E5"/>
    <w:rsid w:val="00AD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B2AE"/>
  <w15:docId w15:val="{EECD1B49-7F89-4134-84CE-0EEE947C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 w:line="259" w:lineRule="auto"/>
      <w:ind w:left="1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mh.cmecertificateonline.com/" TargetMode="External"/><Relationship Id="rId13" Type="http://schemas.openxmlformats.org/officeDocument/2006/relationships/hyperlink" Target="http://help.cmecertificateonline.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help.cmecertificate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help.cmecertificateonline.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gmh.cmecertificateonline.com/" TargetMode="External"/><Relationship Id="rId4" Type="http://schemas.openxmlformats.org/officeDocument/2006/relationships/webSettings" Target="webSettings.xml"/><Relationship Id="rId9" Type="http://schemas.openxmlformats.org/officeDocument/2006/relationships/hyperlink" Target="https://gmh.cmecertificateonl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5730</Characters>
  <Application>Microsoft Office Word</Application>
  <DocSecurity>4</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Notification</dc:title>
  <dc:subject/>
  <dc:creator>Tammy Gaser</dc:creator>
  <cp:keywords/>
  <cp:lastModifiedBy>Tammy Gaser</cp:lastModifiedBy>
  <cp:revision>2</cp:revision>
  <dcterms:created xsi:type="dcterms:W3CDTF">2024-12-11T20:10:00Z</dcterms:created>
  <dcterms:modified xsi:type="dcterms:W3CDTF">2024-12-11T20:10:00Z</dcterms:modified>
</cp:coreProperties>
</file>